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97A7" w14:textId="110E08D2" w:rsidR="00576FE6" w:rsidRDefault="00456A3D" w:rsidP="00576FE6">
      <w:pPr>
        <w:spacing w:after="0"/>
        <w:jc w:val="center"/>
        <w:rPr>
          <w:rFonts w:cstheme="minorHAnsi"/>
          <w:b/>
          <w:bCs/>
          <w:sz w:val="24"/>
          <w:szCs w:val="24"/>
          <w:u w:val="single"/>
        </w:rPr>
      </w:pPr>
      <w:r>
        <w:rPr>
          <w:rFonts w:cstheme="minorHAnsi"/>
          <w:b/>
          <w:bCs/>
          <w:sz w:val="24"/>
          <w:szCs w:val="24"/>
          <w:u w:val="single"/>
        </w:rPr>
        <w:t>September</w:t>
      </w:r>
      <w:r w:rsidR="001C1482">
        <w:rPr>
          <w:rFonts w:cstheme="minorHAnsi"/>
          <w:b/>
          <w:bCs/>
          <w:sz w:val="24"/>
          <w:szCs w:val="24"/>
          <w:u w:val="single"/>
        </w:rPr>
        <w:t xml:space="preserve"> </w:t>
      </w:r>
      <w:r w:rsidR="00576FE6">
        <w:rPr>
          <w:rFonts w:cstheme="minorHAnsi"/>
          <w:b/>
          <w:bCs/>
          <w:sz w:val="24"/>
          <w:szCs w:val="24"/>
          <w:u w:val="single"/>
        </w:rPr>
        <w:t>2025 GAD Report</w:t>
      </w:r>
    </w:p>
    <w:p w14:paraId="317B8E71" w14:textId="77777777" w:rsidR="00793945" w:rsidRDefault="00793945" w:rsidP="00897C5F">
      <w:pPr>
        <w:spacing w:after="0"/>
        <w:rPr>
          <w:rFonts w:cstheme="minorHAnsi"/>
          <w:sz w:val="24"/>
          <w:szCs w:val="24"/>
        </w:rPr>
      </w:pPr>
    </w:p>
    <w:p w14:paraId="55C5B94C" w14:textId="0D648027" w:rsidR="00450421" w:rsidRPr="00450421" w:rsidRDefault="00450421" w:rsidP="00897C5F">
      <w:pPr>
        <w:spacing w:after="0"/>
        <w:rPr>
          <w:rFonts w:cstheme="minorHAnsi"/>
          <w:b/>
          <w:bCs/>
          <w:sz w:val="24"/>
          <w:szCs w:val="24"/>
          <w:u w:val="single"/>
        </w:rPr>
      </w:pPr>
      <w:r w:rsidRPr="00450421">
        <w:rPr>
          <w:rFonts w:cstheme="minorHAnsi"/>
          <w:b/>
          <w:bCs/>
          <w:sz w:val="24"/>
          <w:szCs w:val="24"/>
          <w:u w:val="single"/>
        </w:rPr>
        <w:t>Local Issues:</w:t>
      </w:r>
    </w:p>
    <w:p w14:paraId="66460681" w14:textId="77777777" w:rsidR="00450421" w:rsidRDefault="00450421" w:rsidP="00897C5F">
      <w:pPr>
        <w:spacing w:after="0"/>
        <w:rPr>
          <w:rFonts w:cstheme="minorHAnsi"/>
          <w:sz w:val="24"/>
          <w:szCs w:val="24"/>
        </w:rPr>
      </w:pPr>
    </w:p>
    <w:p w14:paraId="3B595A69" w14:textId="4CC4F4B2" w:rsidR="00450421" w:rsidRDefault="00450421" w:rsidP="00897C5F">
      <w:pPr>
        <w:spacing w:after="0"/>
        <w:rPr>
          <w:rFonts w:cstheme="minorHAnsi"/>
          <w:sz w:val="24"/>
          <w:szCs w:val="24"/>
        </w:rPr>
      </w:pPr>
      <w:r>
        <w:rPr>
          <w:rFonts w:cstheme="minorHAnsi"/>
          <w:sz w:val="24"/>
          <w:szCs w:val="24"/>
        </w:rPr>
        <w:t>LCRC</w:t>
      </w:r>
      <w:r w:rsidR="00456A3D">
        <w:rPr>
          <w:rFonts w:cstheme="minorHAnsi"/>
          <w:sz w:val="24"/>
          <w:szCs w:val="24"/>
        </w:rPr>
        <w:t xml:space="preserve"> has scheduled interviews for September 23rd</w:t>
      </w:r>
      <w:r>
        <w:rPr>
          <w:rFonts w:cstheme="minorHAnsi"/>
          <w:sz w:val="24"/>
          <w:szCs w:val="24"/>
        </w:rPr>
        <w:t xml:space="preserve"> elected incumbents who are up for re-election in 2026.  This is a new approach to looking at elections and our interaction with elected officials.  It will serve two purposes, 1) </w:t>
      </w:r>
      <w:r w:rsidR="00CB7AD7">
        <w:rPr>
          <w:rFonts w:cstheme="minorHAnsi"/>
          <w:sz w:val="24"/>
          <w:szCs w:val="24"/>
        </w:rPr>
        <w:t>strengthen our relationship with these elected officials and, 2) help us determine who we want to support early enough in the election cycle so that we can add our preferred candidates to the CAR mailer when it goes out early in the election season.</w:t>
      </w:r>
    </w:p>
    <w:p w14:paraId="2A853C17" w14:textId="77777777" w:rsidR="00450421" w:rsidRDefault="00450421" w:rsidP="00897C5F">
      <w:pPr>
        <w:spacing w:after="0"/>
        <w:rPr>
          <w:rFonts w:cstheme="minorHAnsi"/>
          <w:sz w:val="24"/>
          <w:szCs w:val="24"/>
        </w:rPr>
      </w:pPr>
    </w:p>
    <w:p w14:paraId="69CB50DE" w14:textId="365D5A3E" w:rsidR="00450421" w:rsidRPr="00450421" w:rsidRDefault="00450421" w:rsidP="00450421">
      <w:pPr>
        <w:spacing w:after="0"/>
        <w:rPr>
          <w:rFonts w:cstheme="minorHAnsi"/>
          <w:sz w:val="24"/>
          <w:szCs w:val="24"/>
        </w:rPr>
      </w:pPr>
      <w:r>
        <w:rPr>
          <w:rFonts w:cstheme="minorHAnsi"/>
          <w:b/>
          <w:bCs/>
          <w:sz w:val="24"/>
          <w:szCs w:val="24"/>
          <w:u w:val="single"/>
        </w:rPr>
        <w:t>State Issues:</w:t>
      </w:r>
    </w:p>
    <w:p w14:paraId="6EBF86AA" w14:textId="7724C5C1" w:rsidR="002F35A4" w:rsidRDefault="002F35A4" w:rsidP="002F35A4">
      <w:pPr>
        <w:spacing w:after="0"/>
        <w:rPr>
          <w:rFonts w:cstheme="minorHAnsi"/>
          <w:sz w:val="24"/>
          <w:szCs w:val="24"/>
        </w:rPr>
      </w:pPr>
      <w:r>
        <w:rPr>
          <w:rFonts w:cstheme="minorHAnsi"/>
          <w:sz w:val="24"/>
          <w:szCs w:val="24"/>
          <w:u w:val="single"/>
        </w:rPr>
        <w:t>CAR supported bills that are o</w:t>
      </w:r>
      <w:r w:rsidRPr="002F35A4">
        <w:rPr>
          <w:rFonts w:cstheme="minorHAnsi"/>
          <w:sz w:val="24"/>
          <w:szCs w:val="24"/>
          <w:u w:val="single"/>
        </w:rPr>
        <w:t>n</w:t>
      </w:r>
      <w:r>
        <w:rPr>
          <w:rFonts w:cstheme="minorHAnsi"/>
          <w:sz w:val="24"/>
          <w:szCs w:val="24"/>
          <w:u w:val="single"/>
        </w:rPr>
        <w:t xml:space="preserve"> the </w:t>
      </w:r>
      <w:r w:rsidRPr="002F35A4">
        <w:rPr>
          <w:rFonts w:cstheme="minorHAnsi"/>
          <w:sz w:val="24"/>
          <w:szCs w:val="24"/>
          <w:u w:val="single"/>
        </w:rPr>
        <w:t>Governor’s desk for signature</w:t>
      </w:r>
      <w:r w:rsidRPr="002F35A4">
        <w:rPr>
          <w:rFonts w:cstheme="minorHAnsi"/>
          <w:sz w:val="24"/>
          <w:szCs w:val="24"/>
        </w:rPr>
        <w:t xml:space="preserve">. </w:t>
      </w:r>
    </w:p>
    <w:p w14:paraId="7F539E02" w14:textId="77777777" w:rsidR="002F35A4" w:rsidRDefault="002F35A4" w:rsidP="002F35A4">
      <w:pPr>
        <w:spacing w:after="0"/>
        <w:rPr>
          <w:rFonts w:cstheme="minorHAnsi"/>
          <w:sz w:val="24"/>
          <w:szCs w:val="24"/>
        </w:rPr>
      </w:pPr>
    </w:p>
    <w:p w14:paraId="3A0D8B7D" w14:textId="2006EA16" w:rsidR="002F35A4" w:rsidRDefault="002F35A4" w:rsidP="002F35A4">
      <w:pPr>
        <w:spacing w:after="0"/>
        <w:rPr>
          <w:rFonts w:cstheme="minorHAnsi"/>
          <w:sz w:val="24"/>
          <w:szCs w:val="24"/>
        </w:rPr>
      </w:pPr>
      <w:r w:rsidRPr="002F35A4">
        <w:rPr>
          <w:rFonts w:cstheme="minorHAnsi"/>
          <w:b/>
          <w:bCs/>
          <w:sz w:val="24"/>
          <w:szCs w:val="24"/>
        </w:rPr>
        <w:t>SB 410 (Grayson)</w:t>
      </w:r>
      <w:r w:rsidRPr="002F35A4">
        <w:rPr>
          <w:rFonts w:cstheme="minorHAnsi"/>
          <w:sz w:val="24"/>
          <w:szCs w:val="24"/>
        </w:rPr>
        <w:t> requires Homeowner Associations (HOAs) to provide sellers with balcony inspection reports as part of the disclosure documents under the Davis-Stirling Act, ensuring that homeowners and prospective buyers are informed about the safety and condition of exterior balconies. The bill also establishes a standardized rating system to clearly communicate the expected timeframe for necessary repairs, helping HOA managers, owners, buyers, and lenders better understand inspection results and financial impacts. SB 410 is now on its way to the governor's desk for signature.</w:t>
      </w:r>
      <w:r w:rsidRPr="002F35A4">
        <w:rPr>
          <w:rFonts w:cstheme="minorHAnsi"/>
          <w:sz w:val="24"/>
          <w:szCs w:val="24"/>
        </w:rPr>
        <w:br/>
      </w:r>
    </w:p>
    <w:p w14:paraId="6FF16148" w14:textId="001AE5F0" w:rsidR="002F35A4" w:rsidRDefault="002F35A4" w:rsidP="002F35A4">
      <w:pPr>
        <w:spacing w:after="0"/>
        <w:rPr>
          <w:rFonts w:cstheme="minorHAnsi"/>
          <w:sz w:val="24"/>
          <w:szCs w:val="24"/>
        </w:rPr>
      </w:pPr>
      <w:r w:rsidRPr="002F35A4">
        <w:rPr>
          <w:rFonts w:cstheme="minorHAnsi"/>
          <w:b/>
          <w:bCs/>
          <w:sz w:val="24"/>
          <w:szCs w:val="24"/>
        </w:rPr>
        <w:t>AB 226 (Calderon and Alvarez):</w:t>
      </w:r>
      <w:r w:rsidRPr="002F35A4">
        <w:rPr>
          <w:rFonts w:cstheme="minorHAnsi"/>
          <w:sz w:val="24"/>
          <w:szCs w:val="24"/>
        </w:rPr>
        <w:t> Increases stability of the insurance market and helps address the housing policy crisis by authorizing the Insurance Commissioner to work with financial institutions to issue bonds to strengthen the claims-paying capacity of the California Fair Access to Insurance Requirements Plan (FAIR Plan) and repay bonds issued for that purpose.</w:t>
      </w:r>
    </w:p>
    <w:p w14:paraId="7F383F2B" w14:textId="77777777" w:rsidR="002F35A4" w:rsidRDefault="002F35A4" w:rsidP="002F35A4">
      <w:pPr>
        <w:spacing w:after="0"/>
        <w:rPr>
          <w:rFonts w:cstheme="minorHAnsi"/>
          <w:sz w:val="24"/>
          <w:szCs w:val="24"/>
        </w:rPr>
      </w:pPr>
    </w:p>
    <w:p w14:paraId="3B7BB955" w14:textId="7285C143" w:rsidR="002F35A4" w:rsidRDefault="002F35A4" w:rsidP="002F35A4">
      <w:pPr>
        <w:spacing w:after="0"/>
        <w:rPr>
          <w:rFonts w:cstheme="minorHAnsi"/>
          <w:sz w:val="24"/>
          <w:szCs w:val="24"/>
        </w:rPr>
      </w:pPr>
      <w:r w:rsidRPr="002F35A4">
        <w:rPr>
          <w:rFonts w:cstheme="minorHAnsi"/>
          <w:b/>
          <w:bCs/>
          <w:sz w:val="24"/>
          <w:szCs w:val="24"/>
        </w:rPr>
        <w:t>AB 610 (Alvarez)</w:t>
      </w:r>
      <w:r w:rsidRPr="002F35A4">
        <w:rPr>
          <w:rFonts w:cstheme="minorHAnsi"/>
          <w:sz w:val="24"/>
          <w:szCs w:val="24"/>
        </w:rPr>
        <w:t xml:space="preserve"> Housing Element – Among other things, AB 610 prohibits local governments from adopting or amending a new “covered governmental constraint” (e.g., fees, exactions, increased “affordability” requirements or set asides, downzoning, etc.) within three years of an adopted and approved housing element found to be in substantial compliance with state law by the Department of Housing and Community Development. C.A.R. supports AB 610 which seeks to requires local governments disclose and address regulatory barriers to housing development. Facilitating transparency and accountability in local government decision-making will ensure housing developers can plan and invest with greater certainty.</w:t>
      </w:r>
    </w:p>
    <w:p w14:paraId="258F9928" w14:textId="77777777" w:rsidR="002F35A4" w:rsidRDefault="002F35A4" w:rsidP="002F35A4">
      <w:pPr>
        <w:spacing w:after="0"/>
        <w:rPr>
          <w:rFonts w:cstheme="minorHAnsi"/>
          <w:sz w:val="24"/>
          <w:szCs w:val="24"/>
        </w:rPr>
      </w:pPr>
    </w:p>
    <w:p w14:paraId="61DAD3AB" w14:textId="6C05002C" w:rsidR="002F35A4" w:rsidRDefault="002F35A4" w:rsidP="002F35A4">
      <w:pPr>
        <w:spacing w:after="0"/>
        <w:rPr>
          <w:rFonts w:cstheme="minorHAnsi"/>
          <w:sz w:val="24"/>
          <w:szCs w:val="24"/>
        </w:rPr>
      </w:pPr>
      <w:r w:rsidRPr="002F35A4">
        <w:rPr>
          <w:rFonts w:cstheme="minorHAnsi"/>
          <w:b/>
          <w:bCs/>
          <w:sz w:val="24"/>
          <w:szCs w:val="24"/>
        </w:rPr>
        <w:t>AB 712 (Wicks)</w:t>
      </w:r>
      <w:r w:rsidRPr="002F35A4">
        <w:rPr>
          <w:rFonts w:cstheme="minorHAnsi"/>
          <w:sz w:val="24"/>
          <w:szCs w:val="24"/>
        </w:rPr>
        <w:t xml:space="preserve"> Housing Enforcement Reform: Fines and penalties - AB 712 would extend the enforcement provisions of the Housing Accountability Act to other state laws, thereby encouraging local agencies to act in compliance with existing state housing laws. </w:t>
      </w:r>
      <w:r w:rsidRPr="002F35A4">
        <w:rPr>
          <w:rFonts w:cstheme="minorHAnsi"/>
          <w:sz w:val="24"/>
          <w:szCs w:val="24"/>
        </w:rPr>
        <w:lastRenderedPageBreak/>
        <w:t>Additionally, AB 712 would end the practice of public agencies asking housing development applicants to indemnify the local government against lawsuits when the local government violates the applicant’s rights. This will result in more certainty for all parties, and more housing in California. C.A.R. supports AB 712 which enhances the rights of housing applicants/developers by guaranteeing the recovery of reasonable attorney fees and costs when prevailing in actions against local agencies that fail to uphold housing reform laws. By imposing financial penalties on non-compliant agencies, this bill creates a meaningful deterrent against unlawful delays and denials that have long hindered the construction of much-needed housing.</w:t>
      </w:r>
    </w:p>
    <w:p w14:paraId="4232B5F2" w14:textId="77777777" w:rsidR="002F35A4" w:rsidRDefault="002F35A4" w:rsidP="002F35A4">
      <w:pPr>
        <w:spacing w:after="0"/>
        <w:rPr>
          <w:rFonts w:cstheme="minorHAnsi"/>
          <w:sz w:val="24"/>
          <w:szCs w:val="24"/>
        </w:rPr>
      </w:pPr>
    </w:p>
    <w:p w14:paraId="38DD7983" w14:textId="17E9998F" w:rsidR="002F35A4" w:rsidRDefault="002F35A4" w:rsidP="002F35A4">
      <w:pPr>
        <w:spacing w:after="0"/>
        <w:rPr>
          <w:rFonts w:cstheme="minorHAnsi"/>
          <w:sz w:val="24"/>
          <w:szCs w:val="24"/>
        </w:rPr>
      </w:pPr>
      <w:r w:rsidRPr="002F35A4">
        <w:rPr>
          <w:rFonts w:cstheme="minorHAnsi"/>
          <w:b/>
          <w:bCs/>
          <w:sz w:val="24"/>
          <w:szCs w:val="24"/>
        </w:rPr>
        <w:t>AB 1007</w:t>
      </w:r>
      <w:r w:rsidRPr="002F35A4">
        <w:rPr>
          <w:rFonts w:cstheme="minorHAnsi"/>
          <w:sz w:val="24"/>
          <w:szCs w:val="24"/>
        </w:rPr>
        <w:t xml:space="preserve"> (B. Rubio) Land Use: Development Project Review – The Permitting Streamlining Act (PSA) establishes shot clocks for various regulatory agencies depending on whether they are considered the “lead agency” for the project or a “responsible agency” for the project. The lead agency for housing projects is usually a city or county, while the multiple state and regional agencies are considered responsible agencies. Under the PSA, the shot clock does not begin to run until after the environmental review is completed under the California Environmental Quality Act (CEQA). C.A.R. supports AB 1007, which reforms a component of California’s Permitting Streamlining Act (PSA), reducing the time limit or “shot clock” for responsible agencies to act on permit applications for housing development projects from 90 days to 45 days. The shortened timeline will allow builders to expedite vitally needed housing production and is consistent with the Legislature’s reduction of two other applicable “shot clock” timeframe reductions for lead agencies charged with approving development applications since 2019.</w:t>
      </w:r>
    </w:p>
    <w:p w14:paraId="60005BAA" w14:textId="77777777" w:rsidR="002F35A4" w:rsidRDefault="002F35A4" w:rsidP="002F35A4">
      <w:pPr>
        <w:spacing w:after="0"/>
        <w:rPr>
          <w:rFonts w:cstheme="minorHAnsi"/>
          <w:sz w:val="24"/>
          <w:szCs w:val="24"/>
        </w:rPr>
      </w:pPr>
    </w:p>
    <w:p w14:paraId="34A9AD49" w14:textId="709C748B" w:rsidR="002F35A4" w:rsidRDefault="002F35A4" w:rsidP="002F35A4">
      <w:pPr>
        <w:spacing w:after="0"/>
        <w:rPr>
          <w:rFonts w:cstheme="minorHAnsi"/>
          <w:sz w:val="24"/>
          <w:szCs w:val="24"/>
        </w:rPr>
      </w:pPr>
      <w:r w:rsidRPr="002F35A4">
        <w:rPr>
          <w:rFonts w:cstheme="minorHAnsi"/>
          <w:b/>
          <w:bCs/>
          <w:sz w:val="24"/>
          <w:szCs w:val="24"/>
        </w:rPr>
        <w:t xml:space="preserve">SB 489 </w:t>
      </w:r>
      <w:r w:rsidRPr="002F35A4">
        <w:rPr>
          <w:rFonts w:cstheme="minorHAnsi"/>
          <w:sz w:val="24"/>
          <w:szCs w:val="24"/>
        </w:rPr>
        <w:t>(Arreguin) Permit Streamlining Act – SB 489 “plugs gaps” in the permitting process by requiring state and regional agencies to post their application requirements online. The measure seeks to ensure that all decisions are either covered by the “shot clocks” included in the Permit Streamlining Act or by post-entitlement permit statutes.</w:t>
      </w:r>
    </w:p>
    <w:sectPr w:rsidR="002F3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31F3"/>
    <w:multiLevelType w:val="multilevel"/>
    <w:tmpl w:val="F0AA4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304AD"/>
    <w:multiLevelType w:val="hybridMultilevel"/>
    <w:tmpl w:val="DCB23E92"/>
    <w:lvl w:ilvl="0" w:tplc="877625D4">
      <w:numFmt w:val="bullet"/>
      <w:lvlText w:val="-"/>
      <w:lvlJc w:val="left"/>
      <w:pPr>
        <w:ind w:left="450" w:hanging="360"/>
      </w:pPr>
      <w:rPr>
        <w:rFonts w:ascii="Aptos" w:eastAsiaTheme="minorHAnsi" w:hAnsi="Aptos" w:cstheme="minorBidi" w:hint="default"/>
      </w:rPr>
    </w:lvl>
    <w:lvl w:ilvl="1" w:tplc="8154F63E" w:tentative="1">
      <w:start w:val="1"/>
      <w:numFmt w:val="bullet"/>
      <w:lvlText w:val="o"/>
      <w:lvlJc w:val="left"/>
      <w:pPr>
        <w:ind w:left="1170" w:hanging="360"/>
      </w:pPr>
      <w:rPr>
        <w:rFonts w:ascii="Courier New" w:hAnsi="Courier New" w:cs="Courier New" w:hint="default"/>
      </w:rPr>
    </w:lvl>
    <w:lvl w:ilvl="2" w:tplc="699E32A0" w:tentative="1">
      <w:start w:val="1"/>
      <w:numFmt w:val="bullet"/>
      <w:lvlText w:val=""/>
      <w:lvlJc w:val="left"/>
      <w:pPr>
        <w:ind w:left="1890" w:hanging="360"/>
      </w:pPr>
      <w:rPr>
        <w:rFonts w:ascii="Wingdings" w:hAnsi="Wingdings" w:hint="default"/>
      </w:rPr>
    </w:lvl>
    <w:lvl w:ilvl="3" w:tplc="6C1602B4" w:tentative="1">
      <w:start w:val="1"/>
      <w:numFmt w:val="bullet"/>
      <w:lvlText w:val=""/>
      <w:lvlJc w:val="left"/>
      <w:pPr>
        <w:ind w:left="2610" w:hanging="360"/>
      </w:pPr>
      <w:rPr>
        <w:rFonts w:ascii="Symbol" w:hAnsi="Symbol" w:hint="default"/>
      </w:rPr>
    </w:lvl>
    <w:lvl w:ilvl="4" w:tplc="01FA2666" w:tentative="1">
      <w:start w:val="1"/>
      <w:numFmt w:val="bullet"/>
      <w:lvlText w:val="o"/>
      <w:lvlJc w:val="left"/>
      <w:pPr>
        <w:ind w:left="3330" w:hanging="360"/>
      </w:pPr>
      <w:rPr>
        <w:rFonts w:ascii="Courier New" w:hAnsi="Courier New" w:cs="Courier New" w:hint="default"/>
      </w:rPr>
    </w:lvl>
    <w:lvl w:ilvl="5" w:tplc="66506E58" w:tentative="1">
      <w:start w:val="1"/>
      <w:numFmt w:val="bullet"/>
      <w:lvlText w:val=""/>
      <w:lvlJc w:val="left"/>
      <w:pPr>
        <w:ind w:left="4050" w:hanging="360"/>
      </w:pPr>
      <w:rPr>
        <w:rFonts w:ascii="Wingdings" w:hAnsi="Wingdings" w:hint="default"/>
      </w:rPr>
    </w:lvl>
    <w:lvl w:ilvl="6" w:tplc="81983C28" w:tentative="1">
      <w:start w:val="1"/>
      <w:numFmt w:val="bullet"/>
      <w:lvlText w:val=""/>
      <w:lvlJc w:val="left"/>
      <w:pPr>
        <w:ind w:left="4770" w:hanging="360"/>
      </w:pPr>
      <w:rPr>
        <w:rFonts w:ascii="Symbol" w:hAnsi="Symbol" w:hint="default"/>
      </w:rPr>
    </w:lvl>
    <w:lvl w:ilvl="7" w:tplc="1548AB88" w:tentative="1">
      <w:start w:val="1"/>
      <w:numFmt w:val="bullet"/>
      <w:lvlText w:val="o"/>
      <w:lvlJc w:val="left"/>
      <w:pPr>
        <w:ind w:left="5490" w:hanging="360"/>
      </w:pPr>
      <w:rPr>
        <w:rFonts w:ascii="Courier New" w:hAnsi="Courier New" w:cs="Courier New" w:hint="default"/>
      </w:rPr>
    </w:lvl>
    <w:lvl w:ilvl="8" w:tplc="1C3CADCE" w:tentative="1">
      <w:start w:val="1"/>
      <w:numFmt w:val="bullet"/>
      <w:lvlText w:val=""/>
      <w:lvlJc w:val="left"/>
      <w:pPr>
        <w:ind w:left="6210" w:hanging="360"/>
      </w:pPr>
      <w:rPr>
        <w:rFonts w:ascii="Wingdings" w:hAnsi="Wingdings" w:hint="default"/>
      </w:rPr>
    </w:lvl>
  </w:abstractNum>
  <w:abstractNum w:abstractNumId="2" w15:restartNumberingAfterBreak="0">
    <w:nsid w:val="12BA1FC2"/>
    <w:multiLevelType w:val="multilevel"/>
    <w:tmpl w:val="1EB8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0D2013"/>
    <w:multiLevelType w:val="multilevel"/>
    <w:tmpl w:val="7EE8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614430"/>
    <w:multiLevelType w:val="multilevel"/>
    <w:tmpl w:val="408E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805E15"/>
    <w:multiLevelType w:val="multilevel"/>
    <w:tmpl w:val="23CA6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E11FF"/>
    <w:multiLevelType w:val="multilevel"/>
    <w:tmpl w:val="4A36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4A41C9"/>
    <w:multiLevelType w:val="multilevel"/>
    <w:tmpl w:val="FA94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A279BD"/>
    <w:multiLevelType w:val="multilevel"/>
    <w:tmpl w:val="518A8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5F39E8"/>
    <w:multiLevelType w:val="multilevel"/>
    <w:tmpl w:val="4D344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72531876">
    <w:abstractNumId w:val="5"/>
  </w:num>
  <w:num w:numId="2" w16cid:durableId="1670912770">
    <w:abstractNumId w:val="2"/>
  </w:num>
  <w:num w:numId="3" w16cid:durableId="2095854319">
    <w:abstractNumId w:val="7"/>
  </w:num>
  <w:num w:numId="4" w16cid:durableId="1156453651">
    <w:abstractNumId w:val="3"/>
  </w:num>
  <w:num w:numId="5" w16cid:durableId="738747138">
    <w:abstractNumId w:val="4"/>
  </w:num>
  <w:num w:numId="6" w16cid:durableId="740058792">
    <w:abstractNumId w:val="0"/>
  </w:num>
  <w:num w:numId="7" w16cid:durableId="1257205748">
    <w:abstractNumId w:val="6"/>
  </w:num>
  <w:num w:numId="8" w16cid:durableId="542595743">
    <w:abstractNumId w:val="8"/>
  </w:num>
  <w:num w:numId="9" w16cid:durableId="1909343906">
    <w:abstractNumId w:val="1"/>
  </w:num>
  <w:num w:numId="10" w16cid:durableId="1597321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8A"/>
    <w:rsid w:val="00041DB2"/>
    <w:rsid w:val="00131DBA"/>
    <w:rsid w:val="001B076B"/>
    <w:rsid w:val="001C1482"/>
    <w:rsid w:val="001F7DC8"/>
    <w:rsid w:val="00225690"/>
    <w:rsid w:val="00261007"/>
    <w:rsid w:val="0029697A"/>
    <w:rsid w:val="002A2537"/>
    <w:rsid w:val="002C15ED"/>
    <w:rsid w:val="002C415E"/>
    <w:rsid w:val="002F35A4"/>
    <w:rsid w:val="00301784"/>
    <w:rsid w:val="003058D9"/>
    <w:rsid w:val="00400410"/>
    <w:rsid w:val="004442C4"/>
    <w:rsid w:val="00450421"/>
    <w:rsid w:val="00456A3D"/>
    <w:rsid w:val="00496A74"/>
    <w:rsid w:val="004C62E9"/>
    <w:rsid w:val="00523185"/>
    <w:rsid w:val="00576FE6"/>
    <w:rsid w:val="005E5D8A"/>
    <w:rsid w:val="0060022A"/>
    <w:rsid w:val="00606B53"/>
    <w:rsid w:val="00672864"/>
    <w:rsid w:val="00704FC2"/>
    <w:rsid w:val="00712E89"/>
    <w:rsid w:val="00793945"/>
    <w:rsid w:val="007C0625"/>
    <w:rsid w:val="0082255D"/>
    <w:rsid w:val="008357C6"/>
    <w:rsid w:val="00865FB3"/>
    <w:rsid w:val="00896AF2"/>
    <w:rsid w:val="00897C5F"/>
    <w:rsid w:val="008B4B7E"/>
    <w:rsid w:val="008E1F41"/>
    <w:rsid w:val="009666AB"/>
    <w:rsid w:val="009A318A"/>
    <w:rsid w:val="009F29B3"/>
    <w:rsid w:val="009F3F55"/>
    <w:rsid w:val="00A3051D"/>
    <w:rsid w:val="00A5750D"/>
    <w:rsid w:val="00BE64B3"/>
    <w:rsid w:val="00BF7C33"/>
    <w:rsid w:val="00C56C04"/>
    <w:rsid w:val="00C77B6D"/>
    <w:rsid w:val="00C92E72"/>
    <w:rsid w:val="00C93EA4"/>
    <w:rsid w:val="00CB7AD7"/>
    <w:rsid w:val="00CE434B"/>
    <w:rsid w:val="00CF777B"/>
    <w:rsid w:val="00DE0914"/>
    <w:rsid w:val="00E474FC"/>
    <w:rsid w:val="00E54793"/>
    <w:rsid w:val="00E97602"/>
    <w:rsid w:val="00F00602"/>
    <w:rsid w:val="00F2020D"/>
    <w:rsid w:val="00F57EE6"/>
    <w:rsid w:val="00FB24D4"/>
    <w:rsid w:val="00FB6866"/>
    <w:rsid w:val="00FF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3810"/>
  <w15:chartTrackingRefBased/>
  <w15:docId w15:val="{DAE34613-F0B2-4A43-A2B3-B65666CA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D8A"/>
  </w:style>
  <w:style w:type="paragraph" w:styleId="Heading1">
    <w:name w:val="heading 1"/>
    <w:basedOn w:val="Normal"/>
    <w:next w:val="Normal"/>
    <w:link w:val="Heading1Char"/>
    <w:uiPriority w:val="9"/>
    <w:qFormat/>
    <w:rsid w:val="005E5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D8A"/>
    <w:rPr>
      <w:rFonts w:eastAsiaTheme="majorEastAsia" w:cstheme="majorBidi"/>
      <w:color w:val="272727" w:themeColor="text1" w:themeTint="D8"/>
    </w:rPr>
  </w:style>
  <w:style w:type="paragraph" w:styleId="Title">
    <w:name w:val="Title"/>
    <w:basedOn w:val="Normal"/>
    <w:next w:val="Normal"/>
    <w:link w:val="TitleChar"/>
    <w:uiPriority w:val="10"/>
    <w:qFormat/>
    <w:rsid w:val="005E5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D8A"/>
    <w:pPr>
      <w:spacing w:before="160"/>
      <w:jc w:val="center"/>
    </w:pPr>
    <w:rPr>
      <w:i/>
      <w:iCs/>
      <w:color w:val="404040" w:themeColor="text1" w:themeTint="BF"/>
    </w:rPr>
  </w:style>
  <w:style w:type="character" w:customStyle="1" w:styleId="QuoteChar">
    <w:name w:val="Quote Char"/>
    <w:basedOn w:val="DefaultParagraphFont"/>
    <w:link w:val="Quote"/>
    <w:uiPriority w:val="29"/>
    <w:rsid w:val="005E5D8A"/>
    <w:rPr>
      <w:i/>
      <w:iCs/>
      <w:color w:val="404040" w:themeColor="text1" w:themeTint="BF"/>
    </w:rPr>
  </w:style>
  <w:style w:type="paragraph" w:styleId="ListParagraph">
    <w:name w:val="List Paragraph"/>
    <w:basedOn w:val="Normal"/>
    <w:uiPriority w:val="34"/>
    <w:qFormat/>
    <w:rsid w:val="005E5D8A"/>
    <w:pPr>
      <w:ind w:left="720"/>
      <w:contextualSpacing/>
    </w:pPr>
  </w:style>
  <w:style w:type="character" w:styleId="IntenseEmphasis">
    <w:name w:val="Intense Emphasis"/>
    <w:basedOn w:val="DefaultParagraphFont"/>
    <w:uiPriority w:val="21"/>
    <w:qFormat/>
    <w:rsid w:val="005E5D8A"/>
    <w:rPr>
      <w:i/>
      <w:iCs/>
      <w:color w:val="0F4761" w:themeColor="accent1" w:themeShade="BF"/>
    </w:rPr>
  </w:style>
  <w:style w:type="paragraph" w:styleId="IntenseQuote">
    <w:name w:val="Intense Quote"/>
    <w:basedOn w:val="Normal"/>
    <w:next w:val="Normal"/>
    <w:link w:val="IntenseQuoteChar"/>
    <w:uiPriority w:val="30"/>
    <w:qFormat/>
    <w:rsid w:val="005E5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D8A"/>
    <w:rPr>
      <w:i/>
      <w:iCs/>
      <w:color w:val="0F4761" w:themeColor="accent1" w:themeShade="BF"/>
    </w:rPr>
  </w:style>
  <w:style w:type="character" w:styleId="IntenseReference">
    <w:name w:val="Intense Reference"/>
    <w:basedOn w:val="DefaultParagraphFont"/>
    <w:uiPriority w:val="32"/>
    <w:qFormat/>
    <w:rsid w:val="005E5D8A"/>
    <w:rPr>
      <w:b/>
      <w:bCs/>
      <w:smallCaps/>
      <w:color w:val="0F4761" w:themeColor="accent1" w:themeShade="BF"/>
      <w:spacing w:val="5"/>
    </w:rPr>
  </w:style>
  <w:style w:type="paragraph" w:styleId="NormalWeb">
    <w:name w:val="Normal (Web)"/>
    <w:basedOn w:val="Normal"/>
    <w:uiPriority w:val="99"/>
    <w:semiHidden/>
    <w:unhideWhenUsed/>
    <w:rsid w:val="005E5D8A"/>
    <w:pPr>
      <w:spacing w:before="100" w:beforeAutospacing="1" w:after="100" w:afterAutospacing="1" w:line="240" w:lineRule="auto"/>
    </w:pPr>
    <w:rPr>
      <w:rFonts w:ascii="Aptos" w:hAnsi="Aptos" w:cs="Aptos"/>
      <w:kern w:val="0"/>
      <w:sz w:val="24"/>
      <w:szCs w:val="24"/>
      <w14:ligatures w14:val="none"/>
    </w:rPr>
  </w:style>
  <w:style w:type="character" w:styleId="Strong">
    <w:name w:val="Strong"/>
    <w:basedOn w:val="DefaultParagraphFont"/>
    <w:uiPriority w:val="22"/>
    <w:qFormat/>
    <w:rsid w:val="005E5D8A"/>
    <w:rPr>
      <w:b/>
      <w:bCs/>
    </w:rPr>
  </w:style>
  <w:style w:type="paragraph" w:customStyle="1" w:styleId="Default">
    <w:name w:val="Default"/>
    <w:rsid w:val="005E5D8A"/>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BE64B3"/>
    <w:rPr>
      <w:strike w:val="0"/>
      <w:dstrike w:val="0"/>
      <w:color w:val="0000FF"/>
      <w:u w:val="none"/>
      <w:effect w:val="none"/>
    </w:rPr>
  </w:style>
  <w:style w:type="character" w:styleId="UnresolvedMention">
    <w:name w:val="Unresolved Mention"/>
    <w:basedOn w:val="DefaultParagraphFont"/>
    <w:uiPriority w:val="99"/>
    <w:semiHidden/>
    <w:unhideWhenUsed/>
    <w:rsid w:val="00305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80233">
      <w:bodyDiv w:val="1"/>
      <w:marLeft w:val="0"/>
      <w:marRight w:val="0"/>
      <w:marTop w:val="0"/>
      <w:marBottom w:val="0"/>
      <w:divBdr>
        <w:top w:val="none" w:sz="0" w:space="0" w:color="auto"/>
        <w:left w:val="none" w:sz="0" w:space="0" w:color="auto"/>
        <w:bottom w:val="none" w:sz="0" w:space="0" w:color="auto"/>
        <w:right w:val="none" w:sz="0" w:space="0" w:color="auto"/>
      </w:divBdr>
    </w:div>
    <w:div w:id="214002888">
      <w:bodyDiv w:val="1"/>
      <w:marLeft w:val="0"/>
      <w:marRight w:val="0"/>
      <w:marTop w:val="0"/>
      <w:marBottom w:val="0"/>
      <w:divBdr>
        <w:top w:val="none" w:sz="0" w:space="0" w:color="auto"/>
        <w:left w:val="none" w:sz="0" w:space="0" w:color="auto"/>
        <w:bottom w:val="none" w:sz="0" w:space="0" w:color="auto"/>
        <w:right w:val="none" w:sz="0" w:space="0" w:color="auto"/>
      </w:divBdr>
    </w:div>
    <w:div w:id="285737741">
      <w:bodyDiv w:val="1"/>
      <w:marLeft w:val="0"/>
      <w:marRight w:val="0"/>
      <w:marTop w:val="0"/>
      <w:marBottom w:val="0"/>
      <w:divBdr>
        <w:top w:val="none" w:sz="0" w:space="0" w:color="auto"/>
        <w:left w:val="none" w:sz="0" w:space="0" w:color="auto"/>
        <w:bottom w:val="none" w:sz="0" w:space="0" w:color="auto"/>
        <w:right w:val="none" w:sz="0" w:space="0" w:color="auto"/>
      </w:divBdr>
    </w:div>
    <w:div w:id="294410278">
      <w:bodyDiv w:val="1"/>
      <w:marLeft w:val="0"/>
      <w:marRight w:val="0"/>
      <w:marTop w:val="0"/>
      <w:marBottom w:val="0"/>
      <w:divBdr>
        <w:top w:val="none" w:sz="0" w:space="0" w:color="auto"/>
        <w:left w:val="none" w:sz="0" w:space="0" w:color="auto"/>
        <w:bottom w:val="none" w:sz="0" w:space="0" w:color="auto"/>
        <w:right w:val="none" w:sz="0" w:space="0" w:color="auto"/>
      </w:divBdr>
    </w:div>
    <w:div w:id="336543057">
      <w:bodyDiv w:val="1"/>
      <w:marLeft w:val="0"/>
      <w:marRight w:val="0"/>
      <w:marTop w:val="0"/>
      <w:marBottom w:val="0"/>
      <w:divBdr>
        <w:top w:val="none" w:sz="0" w:space="0" w:color="auto"/>
        <w:left w:val="none" w:sz="0" w:space="0" w:color="auto"/>
        <w:bottom w:val="none" w:sz="0" w:space="0" w:color="auto"/>
        <w:right w:val="none" w:sz="0" w:space="0" w:color="auto"/>
      </w:divBdr>
    </w:div>
    <w:div w:id="354041369">
      <w:bodyDiv w:val="1"/>
      <w:marLeft w:val="0"/>
      <w:marRight w:val="0"/>
      <w:marTop w:val="0"/>
      <w:marBottom w:val="0"/>
      <w:divBdr>
        <w:top w:val="none" w:sz="0" w:space="0" w:color="auto"/>
        <w:left w:val="none" w:sz="0" w:space="0" w:color="auto"/>
        <w:bottom w:val="none" w:sz="0" w:space="0" w:color="auto"/>
        <w:right w:val="none" w:sz="0" w:space="0" w:color="auto"/>
      </w:divBdr>
    </w:div>
    <w:div w:id="380372210">
      <w:bodyDiv w:val="1"/>
      <w:marLeft w:val="0"/>
      <w:marRight w:val="0"/>
      <w:marTop w:val="0"/>
      <w:marBottom w:val="0"/>
      <w:divBdr>
        <w:top w:val="none" w:sz="0" w:space="0" w:color="auto"/>
        <w:left w:val="none" w:sz="0" w:space="0" w:color="auto"/>
        <w:bottom w:val="none" w:sz="0" w:space="0" w:color="auto"/>
        <w:right w:val="none" w:sz="0" w:space="0" w:color="auto"/>
      </w:divBdr>
    </w:div>
    <w:div w:id="527454984">
      <w:bodyDiv w:val="1"/>
      <w:marLeft w:val="0"/>
      <w:marRight w:val="0"/>
      <w:marTop w:val="0"/>
      <w:marBottom w:val="0"/>
      <w:divBdr>
        <w:top w:val="none" w:sz="0" w:space="0" w:color="auto"/>
        <w:left w:val="none" w:sz="0" w:space="0" w:color="auto"/>
        <w:bottom w:val="none" w:sz="0" w:space="0" w:color="auto"/>
        <w:right w:val="none" w:sz="0" w:space="0" w:color="auto"/>
      </w:divBdr>
    </w:div>
    <w:div w:id="677344666">
      <w:bodyDiv w:val="1"/>
      <w:marLeft w:val="0"/>
      <w:marRight w:val="0"/>
      <w:marTop w:val="0"/>
      <w:marBottom w:val="0"/>
      <w:divBdr>
        <w:top w:val="none" w:sz="0" w:space="0" w:color="auto"/>
        <w:left w:val="none" w:sz="0" w:space="0" w:color="auto"/>
        <w:bottom w:val="none" w:sz="0" w:space="0" w:color="auto"/>
        <w:right w:val="none" w:sz="0" w:space="0" w:color="auto"/>
      </w:divBdr>
    </w:div>
    <w:div w:id="789200727">
      <w:bodyDiv w:val="1"/>
      <w:marLeft w:val="0"/>
      <w:marRight w:val="0"/>
      <w:marTop w:val="0"/>
      <w:marBottom w:val="0"/>
      <w:divBdr>
        <w:top w:val="none" w:sz="0" w:space="0" w:color="auto"/>
        <w:left w:val="none" w:sz="0" w:space="0" w:color="auto"/>
        <w:bottom w:val="none" w:sz="0" w:space="0" w:color="auto"/>
        <w:right w:val="none" w:sz="0" w:space="0" w:color="auto"/>
      </w:divBdr>
    </w:div>
    <w:div w:id="798573835">
      <w:bodyDiv w:val="1"/>
      <w:marLeft w:val="0"/>
      <w:marRight w:val="0"/>
      <w:marTop w:val="0"/>
      <w:marBottom w:val="0"/>
      <w:divBdr>
        <w:top w:val="none" w:sz="0" w:space="0" w:color="auto"/>
        <w:left w:val="none" w:sz="0" w:space="0" w:color="auto"/>
        <w:bottom w:val="none" w:sz="0" w:space="0" w:color="auto"/>
        <w:right w:val="none" w:sz="0" w:space="0" w:color="auto"/>
      </w:divBdr>
    </w:div>
    <w:div w:id="1039284831">
      <w:bodyDiv w:val="1"/>
      <w:marLeft w:val="0"/>
      <w:marRight w:val="0"/>
      <w:marTop w:val="0"/>
      <w:marBottom w:val="0"/>
      <w:divBdr>
        <w:top w:val="none" w:sz="0" w:space="0" w:color="auto"/>
        <w:left w:val="none" w:sz="0" w:space="0" w:color="auto"/>
        <w:bottom w:val="none" w:sz="0" w:space="0" w:color="auto"/>
        <w:right w:val="none" w:sz="0" w:space="0" w:color="auto"/>
      </w:divBdr>
    </w:div>
    <w:div w:id="1172524476">
      <w:bodyDiv w:val="1"/>
      <w:marLeft w:val="0"/>
      <w:marRight w:val="0"/>
      <w:marTop w:val="0"/>
      <w:marBottom w:val="0"/>
      <w:divBdr>
        <w:top w:val="none" w:sz="0" w:space="0" w:color="auto"/>
        <w:left w:val="none" w:sz="0" w:space="0" w:color="auto"/>
        <w:bottom w:val="none" w:sz="0" w:space="0" w:color="auto"/>
        <w:right w:val="none" w:sz="0" w:space="0" w:color="auto"/>
      </w:divBdr>
    </w:div>
    <w:div w:id="1198280078">
      <w:bodyDiv w:val="1"/>
      <w:marLeft w:val="0"/>
      <w:marRight w:val="0"/>
      <w:marTop w:val="0"/>
      <w:marBottom w:val="0"/>
      <w:divBdr>
        <w:top w:val="none" w:sz="0" w:space="0" w:color="auto"/>
        <w:left w:val="none" w:sz="0" w:space="0" w:color="auto"/>
        <w:bottom w:val="none" w:sz="0" w:space="0" w:color="auto"/>
        <w:right w:val="none" w:sz="0" w:space="0" w:color="auto"/>
      </w:divBdr>
    </w:div>
    <w:div w:id="1334143691">
      <w:bodyDiv w:val="1"/>
      <w:marLeft w:val="0"/>
      <w:marRight w:val="0"/>
      <w:marTop w:val="0"/>
      <w:marBottom w:val="0"/>
      <w:divBdr>
        <w:top w:val="none" w:sz="0" w:space="0" w:color="auto"/>
        <w:left w:val="none" w:sz="0" w:space="0" w:color="auto"/>
        <w:bottom w:val="none" w:sz="0" w:space="0" w:color="auto"/>
        <w:right w:val="none" w:sz="0" w:space="0" w:color="auto"/>
      </w:divBdr>
    </w:div>
    <w:div w:id="1483884267">
      <w:bodyDiv w:val="1"/>
      <w:marLeft w:val="0"/>
      <w:marRight w:val="0"/>
      <w:marTop w:val="0"/>
      <w:marBottom w:val="0"/>
      <w:divBdr>
        <w:top w:val="none" w:sz="0" w:space="0" w:color="auto"/>
        <w:left w:val="none" w:sz="0" w:space="0" w:color="auto"/>
        <w:bottom w:val="none" w:sz="0" w:space="0" w:color="auto"/>
        <w:right w:val="none" w:sz="0" w:space="0" w:color="auto"/>
      </w:divBdr>
    </w:div>
    <w:div w:id="1504735071">
      <w:bodyDiv w:val="1"/>
      <w:marLeft w:val="0"/>
      <w:marRight w:val="0"/>
      <w:marTop w:val="0"/>
      <w:marBottom w:val="0"/>
      <w:divBdr>
        <w:top w:val="none" w:sz="0" w:space="0" w:color="auto"/>
        <w:left w:val="none" w:sz="0" w:space="0" w:color="auto"/>
        <w:bottom w:val="none" w:sz="0" w:space="0" w:color="auto"/>
        <w:right w:val="none" w:sz="0" w:space="0" w:color="auto"/>
      </w:divBdr>
    </w:div>
    <w:div w:id="1552425204">
      <w:bodyDiv w:val="1"/>
      <w:marLeft w:val="0"/>
      <w:marRight w:val="0"/>
      <w:marTop w:val="0"/>
      <w:marBottom w:val="0"/>
      <w:divBdr>
        <w:top w:val="none" w:sz="0" w:space="0" w:color="auto"/>
        <w:left w:val="none" w:sz="0" w:space="0" w:color="auto"/>
        <w:bottom w:val="none" w:sz="0" w:space="0" w:color="auto"/>
        <w:right w:val="none" w:sz="0" w:space="0" w:color="auto"/>
      </w:divBdr>
    </w:div>
    <w:div w:id="1632326873">
      <w:bodyDiv w:val="1"/>
      <w:marLeft w:val="0"/>
      <w:marRight w:val="0"/>
      <w:marTop w:val="0"/>
      <w:marBottom w:val="0"/>
      <w:divBdr>
        <w:top w:val="none" w:sz="0" w:space="0" w:color="auto"/>
        <w:left w:val="none" w:sz="0" w:space="0" w:color="auto"/>
        <w:bottom w:val="none" w:sz="0" w:space="0" w:color="auto"/>
        <w:right w:val="none" w:sz="0" w:space="0" w:color="auto"/>
      </w:divBdr>
    </w:div>
    <w:div w:id="1936554755">
      <w:bodyDiv w:val="1"/>
      <w:marLeft w:val="0"/>
      <w:marRight w:val="0"/>
      <w:marTop w:val="0"/>
      <w:marBottom w:val="0"/>
      <w:divBdr>
        <w:top w:val="none" w:sz="0" w:space="0" w:color="auto"/>
        <w:left w:val="none" w:sz="0" w:space="0" w:color="auto"/>
        <w:bottom w:val="none" w:sz="0" w:space="0" w:color="auto"/>
        <w:right w:val="none" w:sz="0" w:space="0" w:color="auto"/>
      </w:divBdr>
    </w:div>
    <w:div w:id="1965499491">
      <w:bodyDiv w:val="1"/>
      <w:marLeft w:val="0"/>
      <w:marRight w:val="0"/>
      <w:marTop w:val="0"/>
      <w:marBottom w:val="0"/>
      <w:divBdr>
        <w:top w:val="none" w:sz="0" w:space="0" w:color="auto"/>
        <w:left w:val="none" w:sz="0" w:space="0" w:color="auto"/>
        <w:bottom w:val="none" w:sz="0" w:space="0" w:color="auto"/>
        <w:right w:val="none" w:sz="0" w:space="0" w:color="auto"/>
      </w:divBdr>
    </w:div>
    <w:div w:id="1994555248">
      <w:bodyDiv w:val="1"/>
      <w:marLeft w:val="0"/>
      <w:marRight w:val="0"/>
      <w:marTop w:val="0"/>
      <w:marBottom w:val="0"/>
      <w:divBdr>
        <w:top w:val="none" w:sz="0" w:space="0" w:color="auto"/>
        <w:left w:val="none" w:sz="0" w:space="0" w:color="auto"/>
        <w:bottom w:val="none" w:sz="0" w:space="0" w:color="auto"/>
        <w:right w:val="none" w:sz="0" w:space="0" w:color="auto"/>
      </w:divBdr>
    </w:div>
    <w:div w:id="2014646819">
      <w:bodyDiv w:val="1"/>
      <w:marLeft w:val="0"/>
      <w:marRight w:val="0"/>
      <w:marTop w:val="0"/>
      <w:marBottom w:val="0"/>
      <w:divBdr>
        <w:top w:val="none" w:sz="0" w:space="0" w:color="auto"/>
        <w:left w:val="none" w:sz="0" w:space="0" w:color="auto"/>
        <w:bottom w:val="none" w:sz="0" w:space="0" w:color="auto"/>
        <w:right w:val="none" w:sz="0" w:space="0" w:color="auto"/>
      </w:divBdr>
    </w:div>
    <w:div w:id="2089181937">
      <w:bodyDiv w:val="1"/>
      <w:marLeft w:val="0"/>
      <w:marRight w:val="0"/>
      <w:marTop w:val="0"/>
      <w:marBottom w:val="0"/>
      <w:divBdr>
        <w:top w:val="none" w:sz="0" w:space="0" w:color="auto"/>
        <w:left w:val="none" w:sz="0" w:space="0" w:color="auto"/>
        <w:bottom w:val="none" w:sz="0" w:space="0" w:color="auto"/>
        <w:right w:val="none" w:sz="0" w:space="0" w:color="auto"/>
      </w:divBdr>
    </w:div>
    <w:div w:id="2099135429">
      <w:bodyDiv w:val="1"/>
      <w:marLeft w:val="0"/>
      <w:marRight w:val="0"/>
      <w:marTop w:val="0"/>
      <w:marBottom w:val="0"/>
      <w:divBdr>
        <w:top w:val="none" w:sz="0" w:space="0" w:color="auto"/>
        <w:left w:val="none" w:sz="0" w:space="0" w:color="auto"/>
        <w:bottom w:val="none" w:sz="0" w:space="0" w:color="auto"/>
        <w:right w:val="none" w:sz="0" w:space="0" w:color="auto"/>
      </w:divBdr>
    </w:div>
    <w:div w:id="212789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Beckman</dc:creator>
  <cp:keywords/>
  <dc:description/>
  <cp:lastModifiedBy>John Beckman</cp:lastModifiedBy>
  <cp:revision>2</cp:revision>
  <dcterms:created xsi:type="dcterms:W3CDTF">2025-09-15T15:50:00Z</dcterms:created>
  <dcterms:modified xsi:type="dcterms:W3CDTF">2025-09-15T15:50:00Z</dcterms:modified>
</cp:coreProperties>
</file>